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84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84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РЕГЛАМЕНТ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населению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положения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населению.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выступают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юридические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заявитель),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обратившимся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запросом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графике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номерах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справочных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телефонов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стенде,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https://maslyanino.nso.ru/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реестр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телефону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графиком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приёма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заявителей);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почтовым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сообщением);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ЕПГУ.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телефону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телефону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очевидными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случаях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существу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(тридцати)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подписывается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фамилию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телефона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поступившем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почтовому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поступившему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поступившее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жалобу,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затрагивают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неопределенного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обжалуется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вынесенное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неопределенного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разъяснением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обжалования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02.05.2006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https://pravo-search.minjust.ru/bigs/showDocument.html?id=4F48675C-2DC2-4B7B-8F43-C7D17AB9072F" w:history="1">
        <w:r>
          <w:rPr>
            <w:rFonts w:ascii="Times New Roman" w:hAnsi="Times New Roman" w:cs="Times New Roman"/>
            <w:sz w:val="28"/>
            <w:szCs w:val="28"/>
          </w:rPr>
          <w:t xml:space="preserve">№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59-ФЗ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27.11.2017)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hyperlink r:id="rId10" w:tooltip="https://pravo-search.minjust.ru/bigs/showDocument.html?id=4F48675C-2DC2-4B7B-8F43-C7D17AB9072F" w:history="1">
        <w:r>
          <w:rPr>
            <w:rFonts w:ascii="Times New Roman" w:hAnsi="Times New Roman" w:cs="Times New Roman"/>
            <w:sz w:val="28"/>
            <w:szCs w:val="28"/>
          </w:rPr>
          <w:t xml:space="preserve">О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порядке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рассмотрения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обращений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граждан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Российской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«Интернет».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исключительных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случаях,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(тридцать)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Стандарт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услуги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населению.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Запрещено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населению.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услугой.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консультировании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телефону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очевидными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случаях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другое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удобное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существу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запросе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случаях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существу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превышающий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истребование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продлевает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почтовым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отправлением.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превышающий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продлевает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компетенцию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компетенцию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направившего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переадресации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разрешенным,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желанию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процедур,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регламента.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(направления)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6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/>
      <w:hyperlink r:id="rId11" w:tooltip="https://pravo-search.minjust.ru/bigs/showDocument.html?id=B11798FF-43B9-49DB-B06C-4223F9D555E2" w:history="1">
        <w:r>
          <w:rPr>
            <w:rFonts w:ascii="Times New Roman" w:hAnsi="Times New Roman" w:cs="Times New Roman"/>
            <w:sz w:val="28"/>
            <w:szCs w:val="28"/>
          </w:rPr>
          <w:t xml:space="preserve">Жилищным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29.12.2004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188-ФЗ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("Российская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газета",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2005,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ooltip="https://pravo-search.minjust.ru/bigs/showDocument.html?id=96E20C02-1B12-465A-B64C-24AA92270007" w:history="1">
        <w:r>
          <w:rPr>
            <w:rFonts w:ascii="Times New Roman" w:hAnsi="Times New Roman" w:cs="Times New Roman"/>
            <w:sz w:val="28"/>
            <w:szCs w:val="28"/>
          </w:rPr>
          <w:t xml:space="preserve">от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06.10.2003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№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</w:t>
      </w:r>
      <w:hyperlink r:id="rId13" w:tooltip="https://pravo-search.minjust.ru/bigs/showDocument.html?id=96E20C02-1B12-465A-B64C-24AA92270007" w:history="1">
        <w:r>
          <w:rPr>
            <w:rFonts w:ascii="Times New Roman" w:hAnsi="Times New Roman" w:cs="Times New Roman"/>
            <w:sz w:val="28"/>
            <w:szCs w:val="28"/>
          </w:rPr>
          <w:t xml:space="preserve">Об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общих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принципах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организации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местного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самоуправления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Федерации"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("Российская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газета",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2003,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tooltip="https://pravo-search.minjust.ru/bigs/showDocument.html?id=CE6D128A-1A6E-46BA-852F-0CE9835CC50F" w:history="1">
        <w:r>
          <w:rPr>
            <w:rFonts w:ascii="Times New Roman" w:hAnsi="Times New Roman" w:cs="Times New Roman"/>
            <w:sz w:val="28"/>
            <w:szCs w:val="28"/>
          </w:rPr>
          <w:t xml:space="preserve">от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30.12.2004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№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210-ФЗ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</w:t>
      </w:r>
      <w:hyperlink r:id="rId15" w:tooltip="https://pravo-search.minjust.ru/bigs/showDocument.html?id=CE6D128A-1A6E-46BA-852F-0CE9835CC50F" w:history="1">
        <w:r>
          <w:rPr>
            <w:rFonts w:ascii="Times New Roman" w:hAnsi="Times New Roman" w:cs="Times New Roman"/>
            <w:sz w:val="28"/>
            <w:szCs w:val="28"/>
          </w:rPr>
          <w:t xml:space="preserve">Об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основах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регулирования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тарифов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организаций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коммунального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комплекса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("Российская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газета",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2004,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292);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tooltip="https://pravo-search.minjust.ru/bigs/showDocument.html?id=BBA0BFB1-06C7-4E50-A8D3-FE1045784BF1" w:history="1">
        <w:r>
          <w:rPr>
            <w:rFonts w:ascii="Times New Roman" w:hAnsi="Times New Roman" w:cs="Times New Roman"/>
            <w:sz w:val="28"/>
            <w:szCs w:val="28"/>
          </w:rPr>
          <w:t xml:space="preserve">от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27.07.2010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№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210-ФЗ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</w:t>
      </w:r>
      <w:hyperlink r:id="rId17" w:tooltip="https://pravo-search.minjust.ru/bigs/showDocument.html?id=BBA0BFB1-06C7-4E50-A8D3-FE1045784BF1" w:history="1">
        <w:r>
          <w:rPr>
            <w:rFonts w:ascii="Times New Roman" w:hAnsi="Times New Roman" w:cs="Times New Roman"/>
            <w:sz w:val="28"/>
            <w:szCs w:val="28"/>
          </w:rPr>
          <w:t xml:space="preserve">Об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организации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предоставления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государственных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и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муниципальных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услуг</w:t>
        </w:r>
      </w:hyperlink>
      <w:r>
        <w:rPr>
          <w:rFonts w:ascii="Times New Roman" w:hAnsi="Times New Roman" w:cs="Times New Roman"/>
          <w:sz w:val="28"/>
          <w:szCs w:val="28"/>
        </w:rPr>
        <w:t xml:space="preserve"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("Российская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газета",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168);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tooltip="https://pravo-search.minjust.ru/bigs/showDocument.html?id=1286E8CF-317A-47BA-AA4B-FE62C0EA8781" w:history="1">
        <w:r>
          <w:rPr>
            <w:rFonts w:ascii="Times New Roman" w:hAnsi="Times New Roman" w:cs="Times New Roman"/>
            <w:sz w:val="28"/>
            <w:szCs w:val="28"/>
          </w:rPr>
          <w:t xml:space="preserve">от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27.07.2010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№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190-ФЗ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теплоснабжении"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("Российская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газета",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168);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07.12.2011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416-ФЗ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водоснабжении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водоотведении"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("Российская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газета",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278);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tooltip="https://pravo-search.minjust.ru/bigs/showDocument.html?id=9B6487F4-856A-4F24-A593-A1C1AB4071C1" w:history="1">
        <w:r>
          <w:rPr>
            <w:rFonts w:ascii="Times New Roman" w:hAnsi="Times New Roman" w:cs="Times New Roman"/>
            <w:sz w:val="28"/>
            <w:szCs w:val="28"/>
          </w:rPr>
          <w:t xml:space="preserve">от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13.08.2006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№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491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многоквартирном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ремонт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ремонту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многоквартирном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ненадлежащего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перерывами,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превышающими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продолжительность"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("Российская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газета",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2006,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184);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06.05.2011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собственникам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пользователям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многоквартирных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домов"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("Российская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газета",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116);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случае,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консультирования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телефону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обратиться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прикладываются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подтверждающие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Запрещается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210-ФЗ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hyperlink r:id="rId20" w:tooltip="https://pravo-search.minjust.ru/bigs/showDocument.html?id=BBA0BFB1-06C7-4E50-A8D3-FE1045784BF1" w:history="1">
        <w:r>
          <w:rPr>
            <w:rFonts w:ascii="Times New Roman" w:hAnsi="Times New Roman" w:cs="Times New Roman"/>
            <w:sz w:val="28"/>
            <w:szCs w:val="28"/>
          </w:rPr>
          <w:t xml:space="preserve">Об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организации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предоставления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государственных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и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муниципальных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услуг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отсутствуют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неоднократно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существу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поступившее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отсутствуют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взимаемой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бесплатной.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Максимальное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ожидания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очереди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превышать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минут.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корреспонденции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(почтой),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каналы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почтой);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помещениям,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помещениях,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ожидания,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санитарно-эпидемиологических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противопожарной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(туалеты)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верхней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одежды.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ожидания: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ожидания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оборудуются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стульями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кресельными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секциями,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скамьями;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ожидания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холле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(зале)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приспособленном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помещении;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ожидания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предназначенные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стендах,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свободный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оборудуются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визуальной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текстовой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справочные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заполнения;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стендах,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обновляются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справочных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заявителей: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кабинетах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оборудуются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вывесками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наименования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кабинета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указателями,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идентификационными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карточками.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оборудовано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персональным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компьютером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печатающим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устройством;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конфиденциальности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одновременное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посетителей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допускается;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оборудуются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стульями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оформления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последовательности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процедур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обоснованных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жалоб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пешеходная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доступность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остановок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продолжительность;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технологий;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беспрепятственный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маломобильных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оборудуются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пандусами,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расширенными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проходами,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позволяющими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беспрепятственный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маломобильных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инвалидов,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кресла-коляски,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собак-проводников);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инвалидов,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стойкие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передвижения,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таблички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(вывески)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рядом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входом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хорошо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ограниченными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дублирование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звуковой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зрительной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инвалидам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преодолении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барьеров,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мешающих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наравне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лицами;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остановок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присутственных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нижних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этажах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(строений)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удобства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принципу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экстерриториальности,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вправе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МФЦ,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МФЦ,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Состав,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последовательность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выполнения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процедур,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требования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выполнения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процедур: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приведена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регламента.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документами.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неправильном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препятствий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объясняет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недостатков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устранению.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недостатки,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препятствующие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допустимо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устранить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устраняются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незамедлительно.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устранить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недостаток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возможным,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другое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удобное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время.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принявший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просьбе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обратившегося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расписку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листов.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существу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превышать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минут.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факсу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виде,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бумажный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носитель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регистрацией.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заявителей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существу.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запрашивает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беседу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телефону,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факсу,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</w:t>
      </w:r>
      <w:r>
        <w:rPr>
          <w:rFonts w:ascii="Times New Roman" w:hAnsi="Times New Roman" w:cs="Times New Roman"/>
          <w:sz w:val="28"/>
          <w:szCs w:val="28"/>
        </w:rPr>
        <w:t xml:space="preserve">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</w:t>
      </w:r>
      <w:r>
        <w:rPr>
          <w:rFonts w:ascii="Times New Roman" w:hAnsi="Times New Roman" w:cs="Times New Roman"/>
          <w:sz w:val="28"/>
          <w:szCs w:val="28"/>
        </w:rPr>
        <w:t xml:space="preserve">язи,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почтой.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беседу,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подготавливается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существу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недостаточность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обусловленной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неявкой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личную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беседу,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повлечь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недостаточно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перечисляются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пояснение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всестороннего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истребовании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обратившегося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обоснованием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поставленный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компетенцию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принадлежности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компетенцию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направившего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переадресации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превышать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двадцати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подписывает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превышать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поступившие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почтовому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желанию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вручается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лично.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требованиям: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конкретная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четкая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просьба,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положительно,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указывается,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причинам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удовлетворена;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указывается,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отправки,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регистрационный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фамилия,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телефона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исполнителя.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оформлению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(вручение)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Максимальный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превышать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совершением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действий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полноты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неисполнение,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ненадлежащее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tooltip="https://pravo-search.minjust.ru/bigs/showDocument.html?id=BBF89570-6239-4CFB-BDBA-5B454C14E321" w:history="1">
        <w:r>
          <w:rPr>
            <w:rFonts w:ascii="Times New Roman" w:hAnsi="Times New Roman" w:cs="Times New Roman"/>
            <w:sz w:val="28"/>
            <w:szCs w:val="28"/>
          </w:rPr>
          <w:t xml:space="preserve">от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02.03.2007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№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25-ФЗ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tooltip="https://pravo-search.minjust.ru/bigs/showDocument.html?id=BBF89570-6239-4CFB-BDBA-5B454C14E321" w:history="1">
        <w:r>
          <w:rPr>
            <w:rFonts w:ascii="Times New Roman" w:hAnsi="Times New Roman" w:cs="Times New Roman"/>
            <w:sz w:val="28"/>
            <w:szCs w:val="28"/>
          </w:rPr>
          <w:t xml:space="preserve">"О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муниципальной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службе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в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Российской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Федерации"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tooltip="https://pravo-search.minjust.ru/bigs/showDocument.html?id=9AA48369-618A-4BB4-B4B8-AE15F2B7EBF6" w:history="1">
        <w:r>
          <w:rPr>
            <w:rFonts w:ascii="Times New Roman" w:hAnsi="Times New Roman" w:cs="Times New Roman"/>
            <w:sz w:val="28"/>
            <w:szCs w:val="28"/>
          </w:rPr>
          <w:t xml:space="preserve">от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25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декабря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2008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года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№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273-ФЗ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hyperlink r:id="rId24" w:tooltip="https://pravo-search.minjust.ru/bigs/showDocument.html?id=9AA48369-618A-4BB4-B4B8-AE15F2B7EBF6" w:history="1">
        <w:r>
          <w:rPr>
            <w:rFonts w:ascii="Times New Roman" w:hAnsi="Times New Roman" w:cs="Times New Roman"/>
            <w:sz w:val="28"/>
            <w:szCs w:val="28"/>
          </w:rPr>
          <w:t xml:space="preserve">О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противодействии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коррупции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Досудебное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(внесудебное)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обжалование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заявителем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действий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(бездействия)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предоставляющего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услугу,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должностного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предоставляющего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услугу,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либо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служащего,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многофункционального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центра,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многофункционального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центра,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также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осуществляющих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функции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услуг,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работников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обжаловать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служащего,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многофункционального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многофункционального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(осуществляемые)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досудебном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(внесудебном)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tooltip="https://pravo-search.minjust.ru/bigs/showDocument.html?id=BBA0BFB1-06C7-4E50-A8D3-FE1045784BF1" w:history="1">
        <w:r>
          <w:rPr>
            <w:rFonts w:ascii="Times New Roman" w:hAnsi="Times New Roman" w:cs="Times New Roman"/>
            <w:sz w:val="28"/>
            <w:szCs w:val="28"/>
          </w:rPr>
          <w:t xml:space="preserve">от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27.07.2010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№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210-ФЗ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hyperlink r:id="rId26" w:tooltip="https://pravo-search.minjust.ru/bigs/showDocument.html?id=BBA0BFB1-06C7-4E50-A8D3-FE1045784BF1" w:history="1">
        <w:r>
          <w:rPr>
            <w:rFonts w:ascii="Times New Roman" w:hAnsi="Times New Roman" w:cs="Times New Roman"/>
            <w:sz w:val="28"/>
            <w:szCs w:val="28"/>
          </w:rPr>
          <w:t xml:space="preserve">Об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организации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предоставления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государственных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и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муниципальных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услуг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Жалоба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многофункционального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многофункционального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многофункционального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учредителю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многофункционального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жалобы,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стендах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регулирующих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досудебного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(внесудебного)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обжалования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служащих: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tooltip="https://pravo-search.minjust.ru/bigs/showDocument.html?id=BBA0BFB1-06C7-4E50-A8D3-FE1045784BF1" w:history="1">
        <w:r>
          <w:rPr>
            <w:rFonts w:ascii="Times New Roman" w:hAnsi="Times New Roman" w:cs="Times New Roman"/>
            <w:sz w:val="28"/>
            <w:szCs w:val="28"/>
          </w:rPr>
          <w:t xml:space="preserve">от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27.07.2010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№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210-ФЗ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hyperlink r:id="rId28" w:tooltip="https://pravo-search.minjust.ru/bigs/showDocument.html?id=BBA0BFB1-06C7-4E50-A8D3-FE1045784BF1" w:history="1">
        <w:r>
          <w:rPr>
            <w:rFonts w:ascii="Times New Roman" w:hAnsi="Times New Roman" w:cs="Times New Roman"/>
            <w:sz w:val="28"/>
            <w:szCs w:val="28"/>
          </w:rPr>
          <w:t xml:space="preserve">Об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организации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предоставления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государственных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и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муниципальных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услуг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досудебного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(внесудебного)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обжалования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(бездействия),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услуг".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содержащаяся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shd w:val="nil" w:color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br w:type="page" w:clear="all"/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535" w:right="0" w:firstLine="0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БЛОК-СХЕМА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услуг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bCs/>
          <w:szCs w:val="28"/>
        </w:rPr>
      </w:r>
      <w:r>
        <w:rPr>
          <w:rFonts w:ascii="Times New Roman" w:hAnsi="Times New Roman" w:cs="Times New Roman"/>
          <w:b/>
          <w:bCs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5"/>
        <w:gridCol w:w="844"/>
        <w:gridCol w:w="4382"/>
      </w:tblGrid>
      <w:tr>
        <w:tblPrEx/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71" w:type="dxa"/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Приём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45" w:type="dxa"/>
            <w:vAlign w:val="bottom"/>
            <w:textDirection w:val="lrTb"/>
            <w:noWrap w:val="false"/>
          </w:tcPr>
          <w:p>
            <w:pPr>
              <w:ind w:firstLine="840"/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4" w:type="dxa"/>
            <w:vAlign w:val="bottom"/>
            <w:textDirection w:val="lrTb"/>
            <w:noWrap w:val="false"/>
          </w:tcPr>
          <w:p>
            <w:pPr>
              <w:ind w:firstLine="840"/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9375" cy="222885"/>
                      <wp:effectExtent l="0" t="0" r="0" b="0"/>
                      <wp:docPr id="1" name="AutoShape 1" descr="data:image/png;base64,iVBORw0KGgoAAAANSUhEUgAAAAgAAAAXCAYAAAA2jw7FAAAAAXNSR0IArs4c6QAAAARnQU1BAACxjwv8YQUAAAAJcEhZcwAADsMAAA7DAcdvqGQAAAA3SURBVChTY0AD/6E0TkC5AhCggzWjCiAApgBEwxXDONgwGGCTgGE4wCsJAyQpwAmIUkAsYGAAAPbPLdNUka+n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937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 0" o:spid="_x0000_s0" o:spt="1" type="#_x0000_t1" style="width:6.25pt;height:17.55pt;mso-wrap-distance-left:0.00pt;mso-wrap-distance-top:0.00pt;mso-wrap-distance-right:0.00pt;mso-wrap-distance-bottom:0.00pt;visibility:visible;" filled="f" stroked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82" w:type="dxa"/>
            <w:vAlign w:val="bottom"/>
            <w:textDirection w:val="lrTb"/>
            <w:noWrap w:val="false"/>
          </w:tcPr>
          <w:p>
            <w:pPr>
              <w:ind w:firstLine="840"/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71" w:type="dxa"/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45" w:type="dxa"/>
            <w:vAlign w:val="bottom"/>
            <w:textDirection w:val="lrTb"/>
            <w:noWrap w:val="false"/>
          </w:tcPr>
          <w:p>
            <w:pPr>
              <w:ind w:firstLine="840"/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4" w:type="dxa"/>
            <w:vAlign w:val="bottom"/>
            <w:textDirection w:val="lrTb"/>
            <w:noWrap w:val="false"/>
          </w:tcPr>
          <w:p>
            <w:pPr>
              <w:ind w:firstLine="840"/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9375" cy="222885"/>
                      <wp:effectExtent l="0" t="0" r="0" b="0"/>
                      <wp:docPr id="2" name="AutoShape 2" descr="data:image/png;base64,iVBORw0KGgoAAAANSUhEUgAAAAgAAAAXCAYAAAA2jw7FAAAAAXNSR0IArs4c6QAAAARnQU1BAACxjwv8YQUAAAAJcEhZcwAADsMAAA7DAcdvqGQAAAA3SURBVChTY0AD/6E0TkC5AhCggzWjCiAApgBEwxXDONgwGGCTgGE4wCsJAyQpwAmIUkAsYGAAAPbPLdNUka+n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937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 1" o:spid="_x0000_s1" o:spt="1" type="#_x0000_t1" style="width:6.25pt;height:17.55pt;mso-wrap-distance-left:0.00pt;mso-wrap-distance-top:0.00pt;mso-wrap-distance-right:0.00pt;mso-wrap-distance-bottom:0.00pt;visibility:visible;" filled="f" stroked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82" w:type="dxa"/>
            <w:vAlign w:val="bottom"/>
            <w:textDirection w:val="lrTb"/>
            <w:noWrap w:val="false"/>
          </w:tcPr>
          <w:p>
            <w:pPr>
              <w:ind w:firstLine="840"/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71" w:type="dxa"/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45" w:type="dxa"/>
            <w:vAlign w:val="bottom"/>
            <w:textDirection w:val="lrTb"/>
            <w:noWrap w:val="false"/>
          </w:tcPr>
          <w:p>
            <w:pPr>
              <w:ind w:firstLine="840"/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9375" cy="222885"/>
                      <wp:effectExtent l="0" t="0" r="0" b="0"/>
                      <wp:docPr id="3" name="AutoShape 3" descr="data:image/png;base64,iVBORw0KGgoAAAANSUhEUgAAAAgAAAAXCAYAAAA2jw7FAAAAAXNSR0IArs4c6QAAAARnQU1BAACxjwv8YQUAAAAJcEhZcwAADsMAAA7DAcdvqGQAAAA3SURBVChTY0AD/6E0TkC5AhCggzWjCiAApgBEwxXDONgwGGCTgGE4wCsJAyQpwAmIUkAsYGAAAPbPLdNUka+n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937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 2" o:spid="_x0000_s2" o:spt="1" type="#_x0000_t1" style="width:6.25pt;height:17.55pt;mso-wrap-distance-left:0.00pt;mso-wrap-distance-top:0.00pt;mso-wrap-distance-right:0.00pt;mso-wrap-distance-bottom:0.00pt;visibility:visible;" filled="f" stroked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4" w:type="dxa"/>
            <w:vAlign w:val="bottom"/>
            <w:textDirection w:val="lrTb"/>
            <w:noWrap w:val="false"/>
          </w:tcPr>
          <w:p>
            <w:pPr>
              <w:ind w:firstLine="840"/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82" w:type="dxa"/>
            <w:vAlign w:val="bottom"/>
            <w:textDirection w:val="lrTb"/>
            <w:noWrap w:val="false"/>
          </w:tcPr>
          <w:p>
            <w:pPr>
              <w:ind w:firstLine="840"/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9375" cy="222885"/>
                      <wp:effectExtent l="0" t="0" r="0" b="0"/>
                      <wp:docPr id="4" name="AutoShape 4" descr="data:image/png;base64,iVBORw0KGgoAAAANSUhEUgAAAAgAAAAXCAYAAAA2jw7FAAAAAXNSR0IArs4c6QAAAARnQU1BAACxjwv8YQUAAAAJcEhZcwAADsMAAA7DAcdvqGQAAAA3SURBVChTY0AD/6E0TkC5AhCggzWjCiAApgBEwxXDONgwGGCTgGE4wCsJAyQpwAmIUkAsYGAAAPbPLdNUka+n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937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 3" o:spid="_x0000_s3" o:spt="1" type="#_x0000_t1" style="width:6.25pt;height:17.55pt;mso-wrap-distance-left:0.00pt;mso-wrap-distance-top:0.00pt;mso-wrap-distance-right:0.00pt;mso-wrap-distance-bottom:0.00pt;visibility:visible;" filled="f" stroked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45" w:type="dxa"/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запрашиваемых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4" w:type="dxa"/>
            <w:vAlign w:val="bottom"/>
            <w:textDirection w:val="lrTb"/>
            <w:noWrap w:val="false"/>
          </w:tcPr>
          <w:p>
            <w:pPr>
              <w:ind w:firstLine="840"/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82" w:type="dxa"/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3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200" w:line="276" w:lineRule="auto"/>
    </w:pPr>
    <w:rPr>
      <w:sz w:val="22"/>
      <w:szCs w:val="22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Normal (Web)"/>
    <w:basedOn w:val="83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37" w:customStyle="1">
    <w:name w:val="Гиперссылка1"/>
    <w:basedOn w:val="833"/>
  </w:style>
  <w:style w:type="paragraph" w:styleId="838">
    <w:name w:val="Balloon Text"/>
    <w:basedOn w:val="832"/>
    <w:link w:val="83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9" w:customStyle="1">
    <w:name w:val="Текст выноски Знак"/>
    <w:basedOn w:val="833"/>
    <w:link w:val="83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pravo-search.minjust.ru/bigs/showDocument.html?id=4F48675C-2DC2-4B7B-8F43-C7D17AB9072F" TargetMode="External"/><Relationship Id="rId10" Type="http://schemas.openxmlformats.org/officeDocument/2006/relationships/hyperlink" Target="https://pravo-search.minjust.ru/bigs/showDocument.html?id=4F48675C-2DC2-4B7B-8F43-C7D17AB9072F" TargetMode="External"/><Relationship Id="rId11" Type="http://schemas.openxmlformats.org/officeDocument/2006/relationships/hyperlink" Target="https://pravo-search.minjust.ru/bigs/showDocument.html?id=B11798FF-43B9-49DB-B06C-4223F9D555E2" TargetMode="External"/><Relationship Id="rId12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yperlink" Target="https://pravo-search.minjust.ru/bigs/showDocument.html?id=CE6D128A-1A6E-46BA-852F-0CE9835CC50F" TargetMode="External"/><Relationship Id="rId15" Type="http://schemas.openxmlformats.org/officeDocument/2006/relationships/hyperlink" Target="https://pravo-search.minjust.ru/bigs/showDocument.html?id=CE6D128A-1A6E-46BA-852F-0CE9835CC50F" TargetMode="External"/><Relationship Id="rId16" Type="http://schemas.openxmlformats.org/officeDocument/2006/relationships/hyperlink" Target="https://pravo-search.minjust.ru/bigs/showDocument.html?id=BBA0BFB1-06C7-4E50-A8D3-FE1045784BF1" TargetMode="External"/><Relationship Id="rId17" Type="http://schemas.openxmlformats.org/officeDocument/2006/relationships/hyperlink" Target="https://pravo-search.minjust.ru/bigs/showDocument.html?id=BBA0BFB1-06C7-4E50-A8D3-FE1045784BF1" TargetMode="External"/><Relationship Id="rId18" Type="http://schemas.openxmlformats.org/officeDocument/2006/relationships/hyperlink" Target="https://pravo-search.minjust.ru/bigs/showDocument.html?id=1286E8CF-317A-47BA-AA4B-FE62C0EA8781" TargetMode="External"/><Relationship Id="rId19" Type="http://schemas.openxmlformats.org/officeDocument/2006/relationships/hyperlink" Target="https://pravo-search.minjust.ru/bigs/showDocument.html?id=9B6487F4-856A-4F24-A593-A1C1AB4071C1" TargetMode="External"/><Relationship Id="rId20" Type="http://schemas.openxmlformats.org/officeDocument/2006/relationships/hyperlink" Target="https://pravo-search.minjust.ru/bigs/showDocument.html?id=BBA0BFB1-06C7-4E50-A8D3-FE1045784BF1" TargetMode="External"/><Relationship Id="rId21" Type="http://schemas.openxmlformats.org/officeDocument/2006/relationships/hyperlink" Target="https://pravo-search.minjust.ru/bigs/showDocument.html?id=BBF89570-6239-4CFB-BDBA-5B454C14E321" TargetMode="External"/><Relationship Id="rId22" Type="http://schemas.openxmlformats.org/officeDocument/2006/relationships/hyperlink" Target="https://pravo-search.minjust.ru/bigs/showDocument.html?id=BBF89570-6239-4CFB-BDBA-5B454C14E321" TargetMode="External"/><Relationship Id="rId23" Type="http://schemas.openxmlformats.org/officeDocument/2006/relationships/hyperlink" Target="https://pravo-search.minjust.ru/bigs/showDocument.html?id=9AA48369-618A-4BB4-B4B8-AE15F2B7EBF6" TargetMode="External"/><Relationship Id="rId24" Type="http://schemas.openxmlformats.org/officeDocument/2006/relationships/hyperlink" Target="https://pravo-search.minjust.ru/bigs/showDocument.html?id=9AA48369-618A-4BB4-B4B8-AE15F2B7EBF6" TargetMode="External"/><Relationship Id="rId25" Type="http://schemas.openxmlformats.org/officeDocument/2006/relationships/hyperlink" Target="https://pravo-search.minjust.ru/bigs/showDocument.html?id=BBA0BFB1-06C7-4E50-A8D3-FE1045784BF1" TargetMode="External"/><Relationship Id="rId26" Type="http://schemas.openxmlformats.org/officeDocument/2006/relationships/hyperlink" Target="https://pravo-search.minjust.ru/bigs/showDocument.html?id=BBA0BFB1-06C7-4E50-A8D3-FE1045784BF1" TargetMode="External"/><Relationship Id="rId27" Type="http://schemas.openxmlformats.org/officeDocument/2006/relationships/hyperlink" Target="https://pravo-search.minjust.ru/bigs/showDocument.html?id=BBA0BFB1-06C7-4E50-A8D3-FE1045784BF1" TargetMode="External"/><Relationship Id="rId28" Type="http://schemas.openxmlformats.org/officeDocument/2006/relationships/hyperlink" Target="https://pravo-search.minjust.ru/bigs/showDocument.html?id=BBA0BFB1-06C7-4E50-A8D3-FE1045784BF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iuristao</dc:creator>
  <cp:lastModifiedBy>economsvodreestr</cp:lastModifiedBy>
  <cp:revision>8</cp:revision>
  <dcterms:created xsi:type="dcterms:W3CDTF">2025-03-19T11:59:00Z</dcterms:created>
  <dcterms:modified xsi:type="dcterms:W3CDTF">2025-04-03T08:57:38Z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00FC907056A4435A9EEFB0FBF8238259_13</vt:lpwstr>
  </property>
</Properties>
</file>